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0EA24" w14:textId="124C5756" w:rsidR="0008642A" w:rsidRDefault="0008642A" w:rsidP="0008642A">
      <w:pPr>
        <w:spacing w:after="0" w:line="480" w:lineRule="auto"/>
        <w:jc w:val="center"/>
        <w:rPr>
          <w:rFonts w:ascii="Times New Roman" w:hAnsi="Times New Roman" w:cs="Times New Roman"/>
          <w:sz w:val="24"/>
          <w:szCs w:val="24"/>
        </w:rPr>
      </w:pPr>
    </w:p>
    <w:p w14:paraId="15BF4042" w14:textId="6510D86D" w:rsidR="00816F8D" w:rsidRDefault="00816F8D" w:rsidP="0008642A">
      <w:pPr>
        <w:spacing w:after="0" w:line="480" w:lineRule="auto"/>
        <w:jc w:val="center"/>
        <w:rPr>
          <w:rFonts w:ascii="Times New Roman" w:hAnsi="Times New Roman" w:cs="Times New Roman"/>
          <w:sz w:val="24"/>
          <w:szCs w:val="24"/>
        </w:rPr>
      </w:pPr>
    </w:p>
    <w:p w14:paraId="524BAD21" w14:textId="3C3DBB88" w:rsidR="00816F8D" w:rsidRDefault="00816F8D" w:rsidP="0008642A">
      <w:pPr>
        <w:spacing w:after="0" w:line="480" w:lineRule="auto"/>
        <w:jc w:val="center"/>
        <w:rPr>
          <w:rFonts w:ascii="Times New Roman" w:hAnsi="Times New Roman" w:cs="Times New Roman"/>
          <w:sz w:val="24"/>
          <w:szCs w:val="24"/>
        </w:rPr>
      </w:pPr>
    </w:p>
    <w:p w14:paraId="27502381" w14:textId="486ED033" w:rsidR="00816F8D" w:rsidRDefault="00816F8D" w:rsidP="0008642A">
      <w:pPr>
        <w:spacing w:after="0" w:line="480" w:lineRule="auto"/>
        <w:jc w:val="center"/>
        <w:rPr>
          <w:rFonts w:ascii="Times New Roman" w:hAnsi="Times New Roman" w:cs="Times New Roman"/>
          <w:sz w:val="24"/>
          <w:szCs w:val="24"/>
        </w:rPr>
      </w:pPr>
    </w:p>
    <w:p w14:paraId="5E36012D" w14:textId="58D81495" w:rsidR="00816F8D" w:rsidRDefault="00816F8D" w:rsidP="0008642A">
      <w:pPr>
        <w:spacing w:after="0" w:line="480" w:lineRule="auto"/>
        <w:jc w:val="center"/>
        <w:rPr>
          <w:rFonts w:ascii="Times New Roman" w:hAnsi="Times New Roman" w:cs="Times New Roman"/>
          <w:sz w:val="24"/>
          <w:szCs w:val="24"/>
        </w:rPr>
      </w:pPr>
    </w:p>
    <w:p w14:paraId="749A6DEB" w14:textId="6377CFBF" w:rsidR="00816F8D" w:rsidRDefault="00816F8D" w:rsidP="0008642A">
      <w:pPr>
        <w:spacing w:after="0" w:line="480" w:lineRule="auto"/>
        <w:jc w:val="center"/>
        <w:rPr>
          <w:rFonts w:ascii="Times New Roman" w:hAnsi="Times New Roman" w:cs="Times New Roman"/>
          <w:sz w:val="24"/>
          <w:szCs w:val="24"/>
        </w:rPr>
      </w:pPr>
    </w:p>
    <w:p w14:paraId="0669CA80" w14:textId="77777777" w:rsidR="00816F8D" w:rsidRDefault="00816F8D" w:rsidP="0008642A">
      <w:pPr>
        <w:spacing w:after="0" w:line="480" w:lineRule="auto"/>
        <w:jc w:val="center"/>
        <w:rPr>
          <w:rFonts w:ascii="Times New Roman" w:hAnsi="Times New Roman" w:cs="Times New Roman"/>
          <w:sz w:val="24"/>
          <w:szCs w:val="24"/>
        </w:rPr>
      </w:pPr>
    </w:p>
    <w:p w14:paraId="71E3433D" w14:textId="0416D483" w:rsidR="0008642A" w:rsidRDefault="00DA134C" w:rsidP="000864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II: </w:t>
      </w:r>
      <w:r w:rsidRPr="00423B08">
        <w:rPr>
          <w:rFonts w:ascii="Times New Roman" w:hAnsi="Times New Roman" w:cs="Times New Roman"/>
          <w:sz w:val="24"/>
          <w:szCs w:val="24"/>
        </w:rPr>
        <w:t>Summa</w:t>
      </w:r>
      <w:r w:rsidR="00816F8D">
        <w:rPr>
          <w:rFonts w:ascii="Times New Roman" w:hAnsi="Times New Roman" w:cs="Times New Roman"/>
          <w:sz w:val="24"/>
          <w:szCs w:val="24"/>
        </w:rPr>
        <w:t>ry of Similarities and Differences</w:t>
      </w:r>
    </w:p>
    <w:p w14:paraId="36976509" w14:textId="77777777" w:rsidR="0008642A" w:rsidRDefault="00DA134C" w:rsidP="000864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1C4741B" w14:textId="5883D8EA" w:rsidR="0008642A" w:rsidRDefault="00DA134C" w:rsidP="0081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16F8D">
        <w:rPr>
          <w:rFonts w:ascii="Times New Roman" w:hAnsi="Times New Roman" w:cs="Times New Roman"/>
          <w:sz w:val="24"/>
          <w:szCs w:val="24"/>
        </w:rPr>
        <w:t>s</w:t>
      </w:r>
    </w:p>
    <w:p w14:paraId="727C720B" w14:textId="77777777" w:rsidR="00816F8D" w:rsidRDefault="00DA134C" w:rsidP="000864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7642E5" w14:textId="15B5975C" w:rsidR="00816F8D" w:rsidRDefault="00DA134C" w:rsidP="0008642A">
      <w:pPr>
        <w:spacing w:after="0" w:line="480" w:lineRule="auto"/>
        <w:jc w:val="center"/>
        <w:rPr>
          <w:rFonts w:ascii="Times New Roman" w:hAnsi="Times New Roman" w:cs="Times New Roman"/>
          <w:b/>
          <w:sz w:val="24"/>
          <w:szCs w:val="24"/>
        </w:rPr>
      </w:pPr>
      <w:r w:rsidRPr="00816F8D">
        <w:rPr>
          <w:rFonts w:ascii="Times New Roman" w:hAnsi="Times New Roman" w:cs="Times New Roman"/>
          <w:sz w:val="24"/>
          <w:szCs w:val="24"/>
        </w:rPr>
        <w:lastRenderedPageBreak/>
        <w:t>Part II: Summary of Similarities and Differences</w:t>
      </w:r>
    </w:p>
    <w:p w14:paraId="2994A937" w14:textId="7F3013D8" w:rsidR="00423B08" w:rsidRPr="0008642A" w:rsidRDefault="00DA134C" w:rsidP="0008642A">
      <w:pPr>
        <w:spacing w:after="0" w:line="480" w:lineRule="auto"/>
        <w:jc w:val="center"/>
        <w:rPr>
          <w:rFonts w:ascii="Times New Roman" w:hAnsi="Times New Roman" w:cs="Times New Roman"/>
          <w:b/>
          <w:sz w:val="24"/>
          <w:szCs w:val="24"/>
        </w:rPr>
      </w:pPr>
      <w:r w:rsidRPr="0008642A">
        <w:rPr>
          <w:rFonts w:ascii="Times New Roman" w:hAnsi="Times New Roman" w:cs="Times New Roman"/>
          <w:b/>
          <w:sz w:val="24"/>
          <w:szCs w:val="24"/>
        </w:rPr>
        <w:t>Similarities</w:t>
      </w:r>
    </w:p>
    <w:p w14:paraId="472C5BA0" w14:textId="77777777" w:rsidR="00423B08" w:rsidRPr="00423B08" w:rsidRDefault="00DA134C" w:rsidP="0090264B">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The similarities between the four articles involve the subject matter. All the four articles examined clinical issues related to cognitive functions. Ramussen et al. (2005) examined the preoperative cortisol secretion and its relation to postoperative cognitive dysfunction (POCD). In Forget, Lacroix, and Cohen's article, they examine the persistent impairment among patients with Cushing's syndrome after surgery. Lout et al. (2004) examine how to predict the post-surgical cognitive disturbance in elderly patients in Taiwan hospital. And in Hocker et al.'s article, the authors examine the impacts of xenon in postoperative neurocognitive dysfunction. Each of these articles examines the post-surgical cognitive functions in elderly patients.</w:t>
      </w:r>
    </w:p>
    <w:p w14:paraId="0BC3EF41" w14:textId="77777777" w:rsidR="00423B08" w:rsidRPr="00423B08" w:rsidRDefault="00DA134C" w:rsidP="0090264B">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 xml:space="preserve">Both articles follow the format of a research, which includes abstract, introduction, methods, results, discussion and conclusion. The abstract of every article provides the overview of the whole study. For instance, in Hocker et al.’s article, they have highlighted the structure and the main sections covered in the paper in the abstract. The introduction introduces the statement of purpose and problem of the study. The methods section highlights the procedures used in collecting data. Results show the findings of the study. The discussion section provides a detailed analysis of the findings presented. The conclusion section summarizes the findings of the paper. Finally, each article has listed the materials used in the article. </w:t>
      </w:r>
    </w:p>
    <w:p w14:paraId="76BE5A31" w14:textId="77777777" w:rsidR="00423B08" w:rsidRPr="00423B08" w:rsidRDefault="00DA134C" w:rsidP="0090264B">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 xml:space="preserve">Even though the articles are different in nature, qualitative or quantitative, they both used neuropsychological tests in analyzing the neurocognitive functions after the surgery. Further, in both articles, the authors did not state the hypothesis or research questions clearly. However, despite that, there is one that the hypothesis was stated. Ramussen et al. (2005) stated hypothesis </w:t>
      </w:r>
      <w:r w:rsidRPr="00423B08">
        <w:rPr>
          <w:rFonts w:ascii="Times New Roman" w:hAnsi="Times New Roman" w:cs="Times New Roman"/>
          <w:sz w:val="24"/>
          <w:szCs w:val="24"/>
        </w:rPr>
        <w:lastRenderedPageBreak/>
        <w:t xml:space="preserve">in the introduction; “we hypothesized that the incidence of POCD would be related to changes in cortisol level” (p. 1225). </w:t>
      </w:r>
    </w:p>
    <w:p w14:paraId="7F96F1DF" w14:textId="77777777" w:rsidR="00423B08" w:rsidRPr="0008642A" w:rsidRDefault="00DA134C" w:rsidP="0008642A">
      <w:pPr>
        <w:spacing w:after="0" w:line="480" w:lineRule="auto"/>
        <w:jc w:val="center"/>
        <w:rPr>
          <w:rFonts w:ascii="Times New Roman" w:hAnsi="Times New Roman" w:cs="Times New Roman"/>
          <w:b/>
          <w:sz w:val="24"/>
          <w:szCs w:val="24"/>
        </w:rPr>
      </w:pPr>
      <w:r w:rsidRPr="0008642A">
        <w:rPr>
          <w:rFonts w:ascii="Times New Roman" w:hAnsi="Times New Roman" w:cs="Times New Roman"/>
          <w:b/>
          <w:sz w:val="24"/>
          <w:szCs w:val="24"/>
        </w:rPr>
        <w:t>Differences</w:t>
      </w:r>
    </w:p>
    <w:p w14:paraId="5CCA03C0" w14:textId="77777777" w:rsidR="00423B08" w:rsidRPr="00423B08" w:rsidRDefault="00DA134C" w:rsidP="0090264B">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 xml:space="preserve">The articles may have some similarities, but the differences are also evident as shown below. First, the articles used different statistical analyses and methodologies. Lou et al. and Forget et al.’s articles are qualitative while the other two articles, Rasmussen et al. and Hocker et al.’s studies are quantitative in nature. However, even those articles that belong to the same group have different data collection and analyses approach. Even though both articles belong to a qualitative group, Forget et al. and Lou et al.’s articles used different data collection approaches. For example, Lou et al. used a literature review approach to analyzing the post-surgical delirium through secondary data obtained from previous studies on the topic. Forget et al.’s study used MANOVAs and t-test approaches to compare the performance of patients with CS based on different variables such as education, age, sex, and reasoning (Forget et al., 2002, p. 373). </w:t>
      </w:r>
    </w:p>
    <w:p w14:paraId="4CFED3D0" w14:textId="77777777" w:rsidR="00423B08" w:rsidRPr="00423B08" w:rsidRDefault="00DA134C" w:rsidP="0090264B">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 xml:space="preserve">Each article used a different sample size and setting. For instance, Lou et al. (2004) used a sample size of 106 participants. Ramussen et al. (2005) used a sample size of 187 participants. Hocker et al. (2009) used 101 participants. And lastly, Forget et al. (2002) used 13 participants. Among the four articles, three articles used large sample size except Forget et al.’s study, which involved 13 participants. </w:t>
      </w:r>
    </w:p>
    <w:p w14:paraId="50E5D1B8" w14:textId="0E464BA6" w:rsidR="0008642A" w:rsidRDefault="00DA134C" w:rsidP="009D7C18">
      <w:pPr>
        <w:spacing w:after="0" w:line="480" w:lineRule="auto"/>
        <w:ind w:firstLine="720"/>
        <w:rPr>
          <w:rFonts w:ascii="Times New Roman" w:hAnsi="Times New Roman" w:cs="Times New Roman"/>
          <w:sz w:val="24"/>
          <w:szCs w:val="24"/>
        </w:rPr>
      </w:pPr>
      <w:r w:rsidRPr="00423B08">
        <w:rPr>
          <w:rFonts w:ascii="Times New Roman" w:hAnsi="Times New Roman" w:cs="Times New Roman"/>
          <w:sz w:val="24"/>
          <w:szCs w:val="24"/>
        </w:rPr>
        <w:t xml:space="preserve">The findings of the articles differ as well. Some articles agree on findings while others appear to disagree with their counterparts. For example, Forget et al. (2002) found that there is no correlation between the hypercortisolism and the cognitive functions. The same findings are showed by Hocker et al. (2009) that there are no significant differences between the study groups in terms of duration of surgery, age, education, or neurocognitive status. On the other hand, </w:t>
      </w:r>
      <w:r w:rsidRPr="00423B08">
        <w:rPr>
          <w:rFonts w:ascii="Times New Roman" w:hAnsi="Times New Roman" w:cs="Times New Roman"/>
          <w:sz w:val="24"/>
          <w:szCs w:val="24"/>
        </w:rPr>
        <w:lastRenderedPageBreak/>
        <w:t>Ramussen et al. (2005) found that the cognitive functions are influenced by surgery. Lou et al. (2004) also found that surgery had a significant correlation with the postoperative delirium.</w:t>
      </w:r>
    </w:p>
    <w:p w14:paraId="64AA135D" w14:textId="77777777" w:rsidR="009D7C18" w:rsidRDefault="00DA134C" w:rsidP="000864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AB5856" w14:textId="19336B5A" w:rsidR="0008642A" w:rsidRDefault="00DA134C" w:rsidP="000864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768A294" w14:textId="3406EADD" w:rsidR="0008642A" w:rsidRPr="00740C7D" w:rsidRDefault="00DA134C" w:rsidP="0008642A">
      <w:pPr>
        <w:spacing w:after="0"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740C7D">
        <w:rPr>
          <w:rFonts w:ascii="Times New Roman" w:hAnsi="Times New Roman" w:cs="Times New Roman"/>
          <w:color w:val="222222"/>
          <w:sz w:val="24"/>
          <w:szCs w:val="24"/>
          <w:shd w:val="clear" w:color="auto" w:fill="FFFFFF"/>
        </w:rPr>
        <w:t>Forget, H., Lacroix, A., &amp; Cohen, H. (2002). Persistent cognitive impairment following surgical treatment of Cushing's syndrome. </w:t>
      </w:r>
      <w:r w:rsidRPr="00740C7D">
        <w:rPr>
          <w:rFonts w:ascii="Times New Roman" w:hAnsi="Times New Roman" w:cs="Times New Roman"/>
          <w:i/>
          <w:iCs/>
          <w:color w:val="222222"/>
          <w:sz w:val="24"/>
          <w:szCs w:val="24"/>
          <w:shd w:val="clear" w:color="auto" w:fill="FFFFFF"/>
        </w:rPr>
        <w:t>Psychoneuroendocrinology</w:t>
      </w:r>
      <w:r w:rsidRPr="00740C7D">
        <w:rPr>
          <w:rFonts w:ascii="Times New Roman" w:hAnsi="Times New Roman" w:cs="Times New Roman"/>
          <w:color w:val="222222"/>
          <w:sz w:val="24"/>
          <w:szCs w:val="24"/>
          <w:shd w:val="clear" w:color="auto" w:fill="FFFFFF"/>
        </w:rPr>
        <w:t>, </w:t>
      </w:r>
      <w:r w:rsidRPr="00740C7D">
        <w:rPr>
          <w:rFonts w:ascii="Times New Roman" w:hAnsi="Times New Roman" w:cs="Times New Roman"/>
          <w:i/>
          <w:iCs/>
          <w:color w:val="222222"/>
          <w:sz w:val="24"/>
          <w:szCs w:val="24"/>
          <w:shd w:val="clear" w:color="auto" w:fill="FFFFFF"/>
        </w:rPr>
        <w:t>27</w:t>
      </w:r>
      <w:r w:rsidRPr="00740C7D">
        <w:rPr>
          <w:rFonts w:ascii="Times New Roman" w:hAnsi="Times New Roman" w:cs="Times New Roman"/>
          <w:color w:val="222222"/>
          <w:sz w:val="24"/>
          <w:szCs w:val="24"/>
          <w:shd w:val="clear" w:color="auto" w:fill="FFFFFF"/>
        </w:rPr>
        <w:t>(3), 367-383.</w:t>
      </w:r>
    </w:p>
    <w:p w14:paraId="2431B83F" w14:textId="28B77DE3" w:rsidR="0008642A" w:rsidRPr="00740C7D" w:rsidRDefault="00DA134C" w:rsidP="0008642A">
      <w:pPr>
        <w:spacing w:after="0" w:line="480" w:lineRule="auto"/>
        <w:ind w:left="720" w:hanging="720"/>
        <w:rPr>
          <w:rFonts w:ascii="Times New Roman" w:hAnsi="Times New Roman" w:cs="Times New Roman"/>
          <w:color w:val="222222"/>
          <w:sz w:val="24"/>
          <w:szCs w:val="24"/>
          <w:shd w:val="clear" w:color="auto" w:fill="FFFFFF"/>
        </w:rPr>
      </w:pPr>
      <w:r w:rsidRPr="00740C7D">
        <w:rPr>
          <w:rFonts w:ascii="Times New Roman" w:hAnsi="Times New Roman" w:cs="Times New Roman"/>
          <w:color w:val="222222"/>
          <w:sz w:val="24"/>
          <w:szCs w:val="24"/>
          <w:shd w:val="clear" w:color="auto" w:fill="FFFFFF"/>
        </w:rPr>
        <w:t>Höcker, J., Stapelfeldt, C., Leiendecker, J., Meybohm, P., Hanss, R., Scholz, J., &amp; Bein, B. (2009). Postoperative Neurocognitive Dysfunction in Elderly Patients after Xenon versus Propofol Anesthesia for Major Noncardiac Surgery</w:t>
      </w:r>
      <w:r w:rsidR="00EF436B">
        <w:rPr>
          <w:rFonts w:ascii="Times New Roman" w:hAnsi="Times New Roman" w:cs="Times New Roman"/>
          <w:color w:val="222222"/>
          <w:sz w:val="24"/>
          <w:szCs w:val="24"/>
          <w:shd w:val="clear" w:color="auto" w:fill="FFFFFF"/>
        </w:rPr>
        <w:t xml:space="preserve">. </w:t>
      </w:r>
      <w:r w:rsidRPr="00740C7D">
        <w:rPr>
          <w:rFonts w:ascii="Times New Roman" w:hAnsi="Times New Roman" w:cs="Times New Roman"/>
          <w:color w:val="222222"/>
          <w:sz w:val="24"/>
          <w:szCs w:val="24"/>
          <w:shd w:val="clear" w:color="auto" w:fill="FFFFFF"/>
        </w:rPr>
        <w:t>A Double-blinded Randomized Controlled Pilot Study. </w:t>
      </w:r>
      <w:r w:rsidRPr="00740C7D">
        <w:rPr>
          <w:rFonts w:ascii="Times New Roman" w:hAnsi="Times New Roman" w:cs="Times New Roman"/>
          <w:i/>
          <w:iCs/>
          <w:color w:val="222222"/>
          <w:sz w:val="24"/>
          <w:szCs w:val="24"/>
          <w:shd w:val="clear" w:color="auto" w:fill="FFFFFF"/>
        </w:rPr>
        <w:t>The Journal of the American Society of Anesthesiologists</w:t>
      </w:r>
      <w:r w:rsidRPr="00740C7D">
        <w:rPr>
          <w:rFonts w:ascii="Times New Roman" w:hAnsi="Times New Roman" w:cs="Times New Roman"/>
          <w:color w:val="222222"/>
          <w:sz w:val="24"/>
          <w:szCs w:val="24"/>
          <w:shd w:val="clear" w:color="auto" w:fill="FFFFFF"/>
        </w:rPr>
        <w:t>, </w:t>
      </w:r>
      <w:r w:rsidRPr="00740C7D">
        <w:rPr>
          <w:rFonts w:ascii="Times New Roman" w:hAnsi="Times New Roman" w:cs="Times New Roman"/>
          <w:i/>
          <w:iCs/>
          <w:color w:val="222222"/>
          <w:sz w:val="24"/>
          <w:szCs w:val="24"/>
          <w:shd w:val="clear" w:color="auto" w:fill="FFFFFF"/>
        </w:rPr>
        <w:t>110</w:t>
      </w:r>
      <w:r w:rsidRPr="00740C7D">
        <w:rPr>
          <w:rFonts w:ascii="Times New Roman" w:hAnsi="Times New Roman" w:cs="Times New Roman"/>
          <w:color w:val="222222"/>
          <w:sz w:val="24"/>
          <w:szCs w:val="24"/>
          <w:shd w:val="clear" w:color="auto" w:fill="FFFFFF"/>
        </w:rPr>
        <w:t>(5), 1068-1076.</w:t>
      </w:r>
    </w:p>
    <w:p w14:paraId="2276105F" w14:textId="77777777" w:rsidR="0008642A" w:rsidRPr="00740C7D" w:rsidRDefault="00DA134C" w:rsidP="0008642A">
      <w:pPr>
        <w:spacing w:after="0" w:line="480" w:lineRule="auto"/>
        <w:ind w:left="720" w:hanging="720"/>
        <w:rPr>
          <w:rFonts w:ascii="Times New Roman" w:hAnsi="Times New Roman" w:cs="Times New Roman"/>
          <w:color w:val="222222"/>
          <w:sz w:val="24"/>
          <w:szCs w:val="24"/>
          <w:shd w:val="clear" w:color="auto" w:fill="FFFFFF"/>
        </w:rPr>
      </w:pPr>
      <w:r w:rsidRPr="00740C7D">
        <w:rPr>
          <w:rFonts w:ascii="Times New Roman" w:hAnsi="Times New Roman" w:cs="Times New Roman"/>
          <w:color w:val="222222"/>
          <w:sz w:val="24"/>
          <w:szCs w:val="24"/>
          <w:shd w:val="clear" w:color="auto" w:fill="FFFFFF"/>
        </w:rPr>
        <w:t>Lou, M. F., Yu, P. J., Huang, G. S., &amp; Dai, Y. T. (2004). Predicting post-surgical cognitive disturbance in older Taiwanese patients. </w:t>
      </w:r>
      <w:r w:rsidRPr="00740C7D">
        <w:rPr>
          <w:rFonts w:ascii="Times New Roman" w:hAnsi="Times New Roman" w:cs="Times New Roman"/>
          <w:i/>
          <w:iCs/>
          <w:color w:val="222222"/>
          <w:sz w:val="24"/>
          <w:szCs w:val="24"/>
          <w:shd w:val="clear" w:color="auto" w:fill="FFFFFF"/>
        </w:rPr>
        <w:t>International journal of nursing studies</w:t>
      </w:r>
      <w:r w:rsidRPr="00740C7D">
        <w:rPr>
          <w:rFonts w:ascii="Times New Roman" w:hAnsi="Times New Roman" w:cs="Times New Roman"/>
          <w:color w:val="222222"/>
          <w:sz w:val="24"/>
          <w:szCs w:val="24"/>
          <w:shd w:val="clear" w:color="auto" w:fill="FFFFFF"/>
        </w:rPr>
        <w:t>, </w:t>
      </w:r>
      <w:r w:rsidRPr="00740C7D">
        <w:rPr>
          <w:rFonts w:ascii="Times New Roman" w:hAnsi="Times New Roman" w:cs="Times New Roman"/>
          <w:i/>
          <w:iCs/>
          <w:color w:val="222222"/>
          <w:sz w:val="24"/>
          <w:szCs w:val="24"/>
          <w:shd w:val="clear" w:color="auto" w:fill="FFFFFF"/>
        </w:rPr>
        <w:t>41</w:t>
      </w:r>
      <w:r w:rsidRPr="00740C7D">
        <w:rPr>
          <w:rFonts w:ascii="Times New Roman" w:hAnsi="Times New Roman" w:cs="Times New Roman"/>
          <w:color w:val="222222"/>
          <w:sz w:val="24"/>
          <w:szCs w:val="24"/>
          <w:shd w:val="clear" w:color="auto" w:fill="FFFFFF"/>
        </w:rPr>
        <w:t>(1), 29-41.</w:t>
      </w:r>
    </w:p>
    <w:p w14:paraId="1D9BCBB4" w14:textId="6BB5D569" w:rsidR="00B95C87" w:rsidRPr="00423B08" w:rsidRDefault="00DA134C" w:rsidP="009D7C18">
      <w:pPr>
        <w:spacing w:after="0" w:line="480" w:lineRule="auto"/>
        <w:ind w:left="720" w:hanging="720"/>
        <w:rPr>
          <w:rFonts w:ascii="Times New Roman" w:hAnsi="Times New Roman" w:cs="Times New Roman"/>
          <w:sz w:val="24"/>
          <w:szCs w:val="24"/>
        </w:rPr>
      </w:pPr>
      <w:r w:rsidRPr="00740C7D">
        <w:rPr>
          <w:rFonts w:ascii="Times New Roman" w:hAnsi="Times New Roman" w:cs="Times New Roman"/>
          <w:color w:val="222222"/>
          <w:sz w:val="24"/>
          <w:szCs w:val="24"/>
          <w:shd w:val="clear" w:color="auto" w:fill="FFFFFF"/>
        </w:rPr>
        <w:t>Rasmussen, L. S., O'brien, J. T., Silverstein, J. H., Johnson, T. W., Siersma, V. D., Canet, J., ... &amp; Papaioannou, A. (2005). Is peri</w:t>
      </w:r>
      <w:r w:rsidRPr="00740C7D">
        <w:rPr>
          <w:rFonts w:ascii="Cambria Math" w:hAnsi="Cambria Math" w:cs="Cambria Math"/>
          <w:color w:val="222222"/>
          <w:sz w:val="24"/>
          <w:szCs w:val="24"/>
          <w:shd w:val="clear" w:color="auto" w:fill="FFFFFF"/>
        </w:rPr>
        <w:t>‐</w:t>
      </w:r>
      <w:r w:rsidRPr="00740C7D">
        <w:rPr>
          <w:rFonts w:ascii="Times New Roman" w:hAnsi="Times New Roman" w:cs="Times New Roman"/>
          <w:color w:val="222222"/>
          <w:sz w:val="24"/>
          <w:szCs w:val="24"/>
          <w:shd w:val="clear" w:color="auto" w:fill="FFFFFF"/>
        </w:rPr>
        <w:t>operative cortisol secretion related to postoperative cognitive dysfunction?. </w:t>
      </w:r>
      <w:r w:rsidRPr="00740C7D">
        <w:rPr>
          <w:rFonts w:ascii="Times New Roman" w:hAnsi="Times New Roman" w:cs="Times New Roman"/>
          <w:i/>
          <w:iCs/>
          <w:color w:val="222222"/>
          <w:sz w:val="24"/>
          <w:szCs w:val="24"/>
          <w:shd w:val="clear" w:color="auto" w:fill="FFFFFF"/>
        </w:rPr>
        <w:t>Acta Anaesthesiologica Scandinavica</w:t>
      </w:r>
      <w:r w:rsidRPr="00740C7D">
        <w:rPr>
          <w:rFonts w:ascii="Times New Roman" w:hAnsi="Times New Roman" w:cs="Times New Roman"/>
          <w:color w:val="222222"/>
          <w:sz w:val="24"/>
          <w:szCs w:val="24"/>
          <w:shd w:val="clear" w:color="auto" w:fill="FFFFFF"/>
        </w:rPr>
        <w:t>, </w:t>
      </w:r>
      <w:r w:rsidRPr="00740C7D">
        <w:rPr>
          <w:rFonts w:ascii="Times New Roman" w:hAnsi="Times New Roman" w:cs="Times New Roman"/>
          <w:i/>
          <w:iCs/>
          <w:color w:val="222222"/>
          <w:sz w:val="24"/>
          <w:szCs w:val="24"/>
          <w:shd w:val="clear" w:color="auto" w:fill="FFFFFF"/>
        </w:rPr>
        <w:t>49</w:t>
      </w:r>
      <w:r w:rsidRPr="00740C7D">
        <w:rPr>
          <w:rFonts w:ascii="Times New Roman" w:hAnsi="Times New Roman" w:cs="Times New Roman"/>
          <w:color w:val="222222"/>
          <w:sz w:val="24"/>
          <w:szCs w:val="24"/>
          <w:shd w:val="clear" w:color="auto" w:fill="FFFFFF"/>
        </w:rPr>
        <w:t>(9), 1225-1231.</w:t>
      </w:r>
    </w:p>
    <w:sectPr w:rsidR="00B95C87" w:rsidRPr="00423B08" w:rsidSect="00816F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FC064" w14:textId="77777777" w:rsidR="00341439" w:rsidRDefault="00341439">
      <w:pPr>
        <w:spacing w:after="0" w:line="240" w:lineRule="auto"/>
      </w:pPr>
      <w:r>
        <w:separator/>
      </w:r>
    </w:p>
  </w:endnote>
  <w:endnote w:type="continuationSeparator" w:id="0">
    <w:p w14:paraId="0847ECDD" w14:textId="77777777" w:rsidR="00341439" w:rsidRDefault="0034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30D70" w14:textId="77777777" w:rsidR="00341439" w:rsidRDefault="00341439">
      <w:pPr>
        <w:spacing w:after="0" w:line="240" w:lineRule="auto"/>
      </w:pPr>
      <w:r>
        <w:separator/>
      </w:r>
    </w:p>
  </w:footnote>
  <w:footnote w:type="continuationSeparator" w:id="0">
    <w:p w14:paraId="4B08FEF4" w14:textId="77777777" w:rsidR="00341439" w:rsidRDefault="00341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87309045"/>
      <w:docPartObj>
        <w:docPartGallery w:val="Page Numbers (Top of Page)"/>
        <w:docPartUnique/>
      </w:docPartObj>
    </w:sdtPr>
    <w:sdtEndPr>
      <w:rPr>
        <w:noProof/>
      </w:rPr>
    </w:sdtEndPr>
    <w:sdtContent>
      <w:p w14:paraId="1DF74383" w14:textId="7C44ECF3" w:rsidR="00816F8D" w:rsidRPr="00816F8D" w:rsidRDefault="00DA134C" w:rsidP="00816F8D">
        <w:pPr>
          <w:pStyle w:val="Header"/>
          <w:jc w:val="right"/>
          <w:rPr>
            <w:rFonts w:ascii="Times New Roman" w:hAnsi="Times New Roman" w:cs="Times New Roman"/>
          </w:rPr>
        </w:pPr>
        <w:r w:rsidRPr="00816F8D">
          <w:rPr>
            <w:rFonts w:ascii="Times New Roman" w:hAnsi="Times New Roman" w:cs="Times New Roman"/>
          </w:rPr>
          <w:t xml:space="preserve">PART II: SUMMARY OF SIMILARITIES AND DIFFERENCES </w:t>
        </w:r>
        <w:r>
          <w:rPr>
            <w:rFonts w:ascii="Times New Roman" w:hAnsi="Times New Roman" w:cs="Times New Roman"/>
          </w:rPr>
          <w:t xml:space="preserve">                                                            </w:t>
        </w:r>
        <w:r w:rsidRPr="00816F8D">
          <w:rPr>
            <w:rFonts w:ascii="Times New Roman" w:hAnsi="Times New Roman" w:cs="Times New Roman"/>
          </w:rPr>
          <w:fldChar w:fldCharType="begin"/>
        </w:r>
        <w:r w:rsidRPr="00816F8D">
          <w:rPr>
            <w:rFonts w:ascii="Times New Roman" w:hAnsi="Times New Roman" w:cs="Times New Roman"/>
          </w:rPr>
          <w:instrText xml:space="preserve"> PAGE   \* MERGEFORMAT </w:instrText>
        </w:r>
        <w:r w:rsidRPr="00816F8D">
          <w:rPr>
            <w:rFonts w:ascii="Times New Roman" w:hAnsi="Times New Roman" w:cs="Times New Roman"/>
          </w:rPr>
          <w:fldChar w:fldCharType="separate"/>
        </w:r>
        <w:r w:rsidRPr="00816F8D">
          <w:rPr>
            <w:rFonts w:ascii="Times New Roman" w:hAnsi="Times New Roman" w:cs="Times New Roman"/>
            <w:noProof/>
          </w:rPr>
          <w:t>2</w:t>
        </w:r>
        <w:r w:rsidRPr="00816F8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86746204"/>
      <w:docPartObj>
        <w:docPartGallery w:val="Page Numbers (Top of Page)"/>
        <w:docPartUnique/>
      </w:docPartObj>
    </w:sdtPr>
    <w:sdtEndPr>
      <w:rPr>
        <w:noProof/>
      </w:rPr>
    </w:sdtEndPr>
    <w:sdtContent>
      <w:p w14:paraId="58840A93" w14:textId="60653D11" w:rsidR="00816F8D" w:rsidRPr="00816F8D" w:rsidRDefault="00DA134C" w:rsidP="00816F8D">
        <w:pPr>
          <w:pStyle w:val="Header"/>
          <w:jc w:val="right"/>
          <w:rPr>
            <w:rFonts w:ascii="Times New Roman" w:hAnsi="Times New Roman" w:cs="Times New Roman"/>
          </w:rPr>
        </w:pPr>
        <w:r>
          <w:rPr>
            <w:rFonts w:ascii="Times New Roman" w:hAnsi="Times New Roman" w:cs="Times New Roman"/>
          </w:rPr>
          <w:t xml:space="preserve">Running head: </w:t>
        </w:r>
        <w:r w:rsidRPr="00816F8D">
          <w:rPr>
            <w:rFonts w:ascii="Times New Roman" w:hAnsi="Times New Roman" w:cs="Times New Roman"/>
          </w:rPr>
          <w:t xml:space="preserve">PART II: SUMMARY OF SIMILARITIES AND DIFFERENCES </w:t>
        </w:r>
        <w:r>
          <w:rPr>
            <w:rFonts w:ascii="Times New Roman" w:hAnsi="Times New Roman" w:cs="Times New Roman"/>
          </w:rPr>
          <w:t xml:space="preserve">                                   </w:t>
        </w:r>
        <w:r w:rsidRPr="00816F8D">
          <w:rPr>
            <w:rFonts w:ascii="Times New Roman" w:hAnsi="Times New Roman" w:cs="Times New Roman"/>
          </w:rPr>
          <w:fldChar w:fldCharType="begin"/>
        </w:r>
        <w:r w:rsidRPr="00816F8D">
          <w:rPr>
            <w:rFonts w:ascii="Times New Roman" w:hAnsi="Times New Roman" w:cs="Times New Roman"/>
          </w:rPr>
          <w:instrText xml:space="preserve"> PAGE   \* MERGEFORMAT </w:instrText>
        </w:r>
        <w:r w:rsidRPr="00816F8D">
          <w:rPr>
            <w:rFonts w:ascii="Times New Roman" w:hAnsi="Times New Roman" w:cs="Times New Roman"/>
          </w:rPr>
          <w:fldChar w:fldCharType="separate"/>
        </w:r>
        <w:r w:rsidRPr="00816F8D">
          <w:rPr>
            <w:rFonts w:ascii="Times New Roman" w:hAnsi="Times New Roman" w:cs="Times New Roman"/>
            <w:noProof/>
          </w:rPr>
          <w:t>2</w:t>
        </w:r>
        <w:r w:rsidRPr="00816F8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ECB"/>
    <w:rsid w:val="0008642A"/>
    <w:rsid w:val="00341439"/>
    <w:rsid w:val="0040767B"/>
    <w:rsid w:val="00423B08"/>
    <w:rsid w:val="00452A4B"/>
    <w:rsid w:val="00675F2F"/>
    <w:rsid w:val="007135D5"/>
    <w:rsid w:val="00740C7D"/>
    <w:rsid w:val="0075511C"/>
    <w:rsid w:val="00816F8D"/>
    <w:rsid w:val="0090264B"/>
    <w:rsid w:val="009D7C18"/>
    <w:rsid w:val="00B95C87"/>
    <w:rsid w:val="00BC4626"/>
    <w:rsid w:val="00CE77A1"/>
    <w:rsid w:val="00DA134C"/>
    <w:rsid w:val="00DB7ECB"/>
    <w:rsid w:val="00E55317"/>
    <w:rsid w:val="00EF436B"/>
    <w:rsid w:val="00F16C2A"/>
    <w:rsid w:val="00FD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7165B"/>
  <w15:docId w15:val="{656C246F-C71E-469C-9E16-650FDEABD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64B"/>
  </w:style>
  <w:style w:type="paragraph" w:styleId="Footer">
    <w:name w:val="footer"/>
    <w:basedOn w:val="Normal"/>
    <w:link w:val="FooterChar"/>
    <w:uiPriority w:val="99"/>
    <w:unhideWhenUsed/>
    <w:rsid w:val="00902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64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35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5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2018-09-13T17:54:00Z</dcterms:created>
  <dcterms:modified xsi:type="dcterms:W3CDTF">2018-09-14T12:59:00Z</dcterms:modified>
</cp:coreProperties>
</file>